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9494" w14:textId="007F30A3" w:rsidR="00CE5075" w:rsidRPr="009F6A0A" w:rsidRDefault="00CE507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F6A0A">
        <w:rPr>
          <w:rFonts w:ascii="Arial" w:hAnsi="Arial" w:cs="Arial"/>
          <w:bCs/>
          <w:spacing w:val="-3"/>
          <w:sz w:val="22"/>
          <w:szCs w:val="22"/>
        </w:rPr>
        <w:t>The Container Refund Scheme (CRS) is to commence on 1 November 2018. The objectives of the CRS are to increase the recycling of beverage container</w:t>
      </w:r>
      <w:r w:rsidR="0010282F">
        <w:rPr>
          <w:rFonts w:ascii="Arial" w:hAnsi="Arial" w:cs="Arial"/>
          <w:bCs/>
          <w:spacing w:val="-3"/>
          <w:sz w:val="22"/>
          <w:szCs w:val="22"/>
        </w:rPr>
        <w:t>s</w:t>
      </w: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, reduce the number of containers that are littered, and to provide opportunities for social enterprise and benefits for community organisations. </w:t>
      </w:r>
    </w:p>
    <w:p w14:paraId="39EF9E20" w14:textId="77777777" w:rsidR="008E262F" w:rsidRPr="009F6A0A" w:rsidRDefault="008E26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D1686">
        <w:rPr>
          <w:rFonts w:ascii="Arial" w:hAnsi="Arial" w:cs="Arial"/>
          <w:bCs/>
          <w:i/>
          <w:spacing w:val="-3"/>
          <w:sz w:val="22"/>
          <w:szCs w:val="22"/>
        </w:rPr>
        <w:t>Planning (Container Refund Scheme) Amendment Regulation 2018</w:t>
      </w: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 amends the </w:t>
      </w:r>
      <w:r w:rsidRPr="001D1686">
        <w:rPr>
          <w:rFonts w:ascii="Arial" w:hAnsi="Arial" w:cs="Arial"/>
          <w:bCs/>
          <w:i/>
          <w:spacing w:val="-3"/>
          <w:sz w:val="22"/>
          <w:szCs w:val="22"/>
        </w:rPr>
        <w:t>Planning Regulation 2017</w:t>
      </w:r>
      <w:r w:rsidR="009F6A0A">
        <w:rPr>
          <w:rFonts w:ascii="Arial" w:hAnsi="Arial" w:cs="Arial"/>
          <w:bCs/>
          <w:spacing w:val="-3"/>
          <w:sz w:val="22"/>
          <w:szCs w:val="22"/>
        </w:rPr>
        <w:t xml:space="preserve"> to support the commencement of the CRS by 1 November 2018</w:t>
      </w:r>
      <w:r w:rsidRPr="009F6A0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891F97C" w14:textId="77777777" w:rsidR="008E262F" w:rsidRPr="009F6A0A" w:rsidRDefault="008E26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The Regulation is subordinate legislation under the </w:t>
      </w:r>
      <w:r w:rsidRPr="009F6A0A">
        <w:rPr>
          <w:rFonts w:ascii="Arial" w:hAnsi="Arial" w:cs="Arial"/>
          <w:bCs/>
          <w:i/>
          <w:spacing w:val="-3"/>
          <w:sz w:val="22"/>
          <w:szCs w:val="22"/>
        </w:rPr>
        <w:t>Planning Act 2016</w:t>
      </w: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531CDBF1" w14:textId="77777777" w:rsidR="008E262F" w:rsidRPr="009F6A0A" w:rsidRDefault="008E26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The objective of the </w:t>
      </w:r>
      <w:r w:rsidR="00CE5075" w:rsidRPr="001D1686">
        <w:rPr>
          <w:rFonts w:ascii="Arial" w:hAnsi="Arial" w:cs="Arial"/>
          <w:bCs/>
          <w:i/>
          <w:spacing w:val="-3"/>
          <w:sz w:val="22"/>
          <w:szCs w:val="22"/>
        </w:rPr>
        <w:t>Planning (Container Refund Scheme) Amendment Regulation 2018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 is to ensure that low</w:t>
      </w:r>
      <w:r w:rsidR="00095FA7">
        <w:rPr>
          <w:rFonts w:ascii="Arial" w:hAnsi="Arial" w:cs="Arial"/>
          <w:bCs/>
          <w:spacing w:val="-3"/>
          <w:sz w:val="22"/>
          <w:szCs w:val="22"/>
        </w:rPr>
        <w:t>-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risk container refund points do not require planning assessment under the </w:t>
      </w:r>
      <w:r w:rsidR="00CE5075" w:rsidRPr="009F6A0A">
        <w:rPr>
          <w:rFonts w:ascii="Arial" w:hAnsi="Arial" w:cs="Arial"/>
          <w:bCs/>
          <w:i/>
          <w:spacing w:val="-3"/>
          <w:sz w:val="22"/>
          <w:szCs w:val="22"/>
        </w:rPr>
        <w:t>Planning Act 2016</w:t>
      </w:r>
      <w:r w:rsidR="00F810B8">
        <w:rPr>
          <w:rFonts w:ascii="Arial" w:hAnsi="Arial" w:cs="Arial"/>
          <w:bCs/>
          <w:spacing w:val="-3"/>
          <w:sz w:val="22"/>
          <w:szCs w:val="22"/>
        </w:rPr>
        <w:t>,</w:t>
      </w:r>
      <w:r w:rsidR="00F810B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810B8" w:rsidRPr="00F810B8">
        <w:rPr>
          <w:rFonts w:ascii="Arial" w:hAnsi="Arial" w:cs="Arial"/>
          <w:bCs/>
          <w:spacing w:val="-3"/>
          <w:sz w:val="22"/>
          <w:szCs w:val="22"/>
        </w:rPr>
        <w:t xml:space="preserve">if </w:t>
      </w:r>
      <w:r w:rsidR="00F810B8">
        <w:rPr>
          <w:rFonts w:ascii="Arial" w:hAnsi="Arial" w:cs="Arial"/>
          <w:bCs/>
          <w:spacing w:val="-3"/>
          <w:sz w:val="22"/>
          <w:szCs w:val="22"/>
        </w:rPr>
        <w:t xml:space="preserve">they are </w:t>
      </w:r>
      <w:r w:rsidR="00F810B8" w:rsidRPr="00F810B8">
        <w:rPr>
          <w:rFonts w:ascii="Arial" w:hAnsi="Arial" w:cs="Arial"/>
          <w:bCs/>
          <w:spacing w:val="-3"/>
          <w:sz w:val="22"/>
          <w:szCs w:val="22"/>
        </w:rPr>
        <w:t>deliv</w:t>
      </w:r>
      <w:r w:rsidR="00F810B8">
        <w:rPr>
          <w:rFonts w:ascii="Arial" w:hAnsi="Arial" w:cs="Arial"/>
          <w:bCs/>
          <w:spacing w:val="-3"/>
          <w:sz w:val="22"/>
          <w:szCs w:val="22"/>
        </w:rPr>
        <w:t>ered expeditiously within six mon</w:t>
      </w:r>
      <w:r w:rsidR="00F810B8" w:rsidRPr="00F810B8">
        <w:rPr>
          <w:rFonts w:ascii="Arial" w:hAnsi="Arial" w:cs="Arial"/>
          <w:bCs/>
          <w:spacing w:val="-3"/>
          <w:sz w:val="22"/>
          <w:szCs w:val="22"/>
        </w:rPr>
        <w:t>t</w:t>
      </w:r>
      <w:r w:rsidR="00F810B8">
        <w:rPr>
          <w:rFonts w:ascii="Arial" w:hAnsi="Arial" w:cs="Arial"/>
          <w:bCs/>
          <w:spacing w:val="-3"/>
          <w:sz w:val="22"/>
          <w:szCs w:val="22"/>
        </w:rPr>
        <w:t>h</w:t>
      </w:r>
      <w:r w:rsidR="00F810B8" w:rsidRPr="00F810B8">
        <w:rPr>
          <w:rFonts w:ascii="Arial" w:hAnsi="Arial" w:cs="Arial"/>
          <w:bCs/>
          <w:spacing w:val="-3"/>
          <w:sz w:val="22"/>
          <w:szCs w:val="22"/>
        </w:rPr>
        <w:t xml:space="preserve">s of the </w:t>
      </w:r>
      <w:r w:rsidR="00095FA7">
        <w:rPr>
          <w:rFonts w:ascii="Arial" w:hAnsi="Arial" w:cs="Arial"/>
          <w:bCs/>
          <w:spacing w:val="-3"/>
          <w:sz w:val="22"/>
          <w:szCs w:val="22"/>
        </w:rPr>
        <w:t>CRS</w:t>
      </w:r>
      <w:r w:rsidR="00095FA7" w:rsidRPr="00F810B8">
        <w:rPr>
          <w:rFonts w:ascii="Arial" w:hAnsi="Arial" w:cs="Arial"/>
          <w:bCs/>
          <w:spacing w:val="-3"/>
          <w:sz w:val="22"/>
          <w:szCs w:val="22"/>
        </w:rPr>
        <w:t xml:space="preserve">’s </w:t>
      </w:r>
      <w:r w:rsidR="00F810B8" w:rsidRPr="00F810B8">
        <w:rPr>
          <w:rFonts w:ascii="Arial" w:hAnsi="Arial" w:cs="Arial"/>
          <w:bCs/>
          <w:spacing w:val="-3"/>
          <w:sz w:val="22"/>
          <w:szCs w:val="22"/>
        </w:rPr>
        <w:t>commencement</w:t>
      </w:r>
      <w:r w:rsidR="00CE5075" w:rsidRPr="00F810B8">
        <w:rPr>
          <w:rFonts w:ascii="Arial" w:hAnsi="Arial" w:cs="Arial"/>
          <w:bCs/>
          <w:spacing w:val="-3"/>
          <w:sz w:val="22"/>
          <w:szCs w:val="22"/>
        </w:rPr>
        <w:t>.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52E9AD9" w14:textId="77777777" w:rsidR="009F6A0A" w:rsidRDefault="008E26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F6A0A" w:rsidRPr="001D1686">
        <w:rPr>
          <w:rFonts w:ascii="Arial" w:hAnsi="Arial" w:cs="Arial"/>
          <w:bCs/>
          <w:i/>
          <w:spacing w:val="-3"/>
          <w:sz w:val="22"/>
          <w:szCs w:val="22"/>
        </w:rPr>
        <w:t>Planning (Container Refund Scheme) Amendment Regulation 2018</w:t>
      </w:r>
      <w:r w:rsidR="009F6A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F6A0A">
        <w:rPr>
          <w:rFonts w:ascii="Arial" w:hAnsi="Arial" w:cs="Arial"/>
          <w:bCs/>
          <w:spacing w:val="-3"/>
          <w:sz w:val="22"/>
          <w:szCs w:val="22"/>
        </w:rPr>
        <w:t xml:space="preserve">contains a number of provisions that 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support </w:t>
      </w:r>
      <w:r w:rsidR="00095FA7">
        <w:rPr>
          <w:rFonts w:ascii="Arial" w:hAnsi="Arial" w:cs="Arial"/>
          <w:bCs/>
          <w:spacing w:val="-3"/>
          <w:sz w:val="22"/>
          <w:szCs w:val="22"/>
        </w:rPr>
        <w:t>container refund points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 in existing buildings alongside existing commercial, not</w:t>
      </w:r>
      <w:r w:rsidR="00095FA7">
        <w:rPr>
          <w:rFonts w:ascii="Arial" w:hAnsi="Arial" w:cs="Arial"/>
          <w:bCs/>
          <w:spacing w:val="-3"/>
          <w:sz w:val="22"/>
          <w:szCs w:val="22"/>
        </w:rPr>
        <w:t>-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>for</w:t>
      </w:r>
      <w:r w:rsidR="00095FA7">
        <w:rPr>
          <w:rFonts w:ascii="Arial" w:hAnsi="Arial" w:cs="Arial"/>
          <w:bCs/>
          <w:spacing w:val="-3"/>
          <w:sz w:val="22"/>
          <w:szCs w:val="22"/>
        </w:rPr>
        <w:t>-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>profit or industrial uses and identifies individual sites which have been assesse</w:t>
      </w:r>
      <w:r w:rsidR="009F6A0A">
        <w:rPr>
          <w:rFonts w:ascii="Arial" w:hAnsi="Arial" w:cs="Arial"/>
          <w:bCs/>
          <w:spacing w:val="-3"/>
          <w:sz w:val="22"/>
          <w:szCs w:val="22"/>
        </w:rPr>
        <w:t>d</w:t>
      </w:r>
      <w:r w:rsidR="00CE5075" w:rsidRPr="009F6A0A">
        <w:rPr>
          <w:rFonts w:ascii="Arial" w:hAnsi="Arial" w:cs="Arial"/>
          <w:bCs/>
          <w:spacing w:val="-3"/>
          <w:sz w:val="22"/>
          <w:szCs w:val="22"/>
        </w:rPr>
        <w:t xml:space="preserve"> as low risk. </w:t>
      </w:r>
    </w:p>
    <w:p w14:paraId="37F738B2" w14:textId="77777777" w:rsidR="00D6589B" w:rsidRPr="00E2065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065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77833">
        <w:rPr>
          <w:rFonts w:ascii="Arial" w:hAnsi="Arial" w:cs="Arial"/>
          <w:sz w:val="22"/>
          <w:szCs w:val="22"/>
          <w:u w:val="single"/>
        </w:rPr>
        <w:t>endorsed</w:t>
      </w:r>
      <w:r w:rsidRPr="00E20656">
        <w:rPr>
          <w:rFonts w:ascii="Arial" w:hAnsi="Arial" w:cs="Arial"/>
          <w:sz w:val="22"/>
          <w:szCs w:val="22"/>
        </w:rPr>
        <w:t xml:space="preserve"> </w:t>
      </w:r>
      <w:r w:rsidR="007C27AC" w:rsidRPr="00E20656">
        <w:rPr>
          <w:rFonts w:ascii="Arial" w:hAnsi="Arial" w:cs="Arial"/>
          <w:sz w:val="22"/>
          <w:szCs w:val="22"/>
        </w:rPr>
        <w:t xml:space="preserve">that the </w:t>
      </w:r>
      <w:r w:rsidR="007C27AC" w:rsidRPr="001D1686">
        <w:rPr>
          <w:rFonts w:ascii="Arial" w:hAnsi="Arial" w:cs="Arial"/>
          <w:i/>
          <w:sz w:val="22"/>
          <w:szCs w:val="22"/>
        </w:rPr>
        <w:t>Planning (Container Refund Scheme) Amendment Regulation 2018</w:t>
      </w:r>
      <w:r w:rsidR="00E20656" w:rsidRPr="00E20656">
        <w:rPr>
          <w:rFonts w:ascii="Arial" w:hAnsi="Arial" w:cs="Arial"/>
          <w:sz w:val="22"/>
          <w:szCs w:val="22"/>
        </w:rPr>
        <w:t xml:space="preserve"> </w:t>
      </w:r>
      <w:r w:rsidR="007C27AC" w:rsidRPr="00E20656">
        <w:rPr>
          <w:rFonts w:ascii="Arial" w:hAnsi="Arial" w:cs="Arial"/>
          <w:sz w:val="22"/>
          <w:szCs w:val="22"/>
        </w:rPr>
        <w:t>be recommended to the Governor in Council for approval.</w:t>
      </w:r>
    </w:p>
    <w:p w14:paraId="2246D18B" w14:textId="77777777" w:rsidR="00D6589B" w:rsidRPr="00E20656" w:rsidRDefault="00D6589B" w:rsidP="001D168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0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1E182E9" w14:textId="5520D566" w:rsidR="00D6589B" w:rsidRPr="001D1686" w:rsidRDefault="009C23C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E20656" w:rsidRPr="006F4F5C">
          <w:rPr>
            <w:rStyle w:val="Hyperlink"/>
            <w:rFonts w:ascii="Arial" w:hAnsi="Arial" w:cs="Arial"/>
            <w:i/>
            <w:sz w:val="22"/>
            <w:szCs w:val="22"/>
          </w:rPr>
          <w:t>Planning (Container Refund Scheme) Amendment Regulation 2018</w:t>
        </w:r>
      </w:hyperlink>
    </w:p>
    <w:p w14:paraId="1367EE14" w14:textId="67F66F1C" w:rsidR="00E20656" w:rsidRPr="00E20656" w:rsidRDefault="009C23C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20656" w:rsidRPr="006F4F5C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8B1EDC" w:rsidRPr="006F4F5C">
          <w:rPr>
            <w:rStyle w:val="Hyperlink"/>
            <w:rFonts w:ascii="Arial" w:hAnsi="Arial" w:cs="Arial"/>
            <w:sz w:val="22"/>
            <w:szCs w:val="22"/>
          </w:rPr>
          <w:t>N</w:t>
        </w:r>
        <w:r w:rsidR="00E20656" w:rsidRPr="006F4F5C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  <w:r w:rsidR="00E20656">
        <w:rPr>
          <w:rFonts w:ascii="Arial" w:hAnsi="Arial" w:cs="Arial"/>
          <w:sz w:val="22"/>
          <w:szCs w:val="22"/>
        </w:rPr>
        <w:t xml:space="preserve"> </w:t>
      </w:r>
    </w:p>
    <w:sectPr w:rsidR="00E20656" w:rsidRPr="00E20656" w:rsidSect="0059570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1667" w14:textId="77777777" w:rsidR="005B78F5" w:rsidRDefault="005B78F5" w:rsidP="00D6589B">
      <w:r>
        <w:separator/>
      </w:r>
    </w:p>
  </w:endnote>
  <w:endnote w:type="continuationSeparator" w:id="0">
    <w:p w14:paraId="3CF5D6A2" w14:textId="77777777" w:rsidR="005B78F5" w:rsidRDefault="005B78F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C655" w14:textId="77777777" w:rsidR="005B78F5" w:rsidRDefault="005B78F5" w:rsidP="00D6589B">
      <w:r>
        <w:separator/>
      </w:r>
    </w:p>
  </w:footnote>
  <w:footnote w:type="continuationSeparator" w:id="0">
    <w:p w14:paraId="46D92AE1" w14:textId="77777777" w:rsidR="005B78F5" w:rsidRDefault="005B78F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4B1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D8D3B5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E2ABEC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629EF">
      <w:rPr>
        <w:rFonts w:ascii="Arial" w:hAnsi="Arial" w:cs="Arial"/>
        <w:b/>
        <w:color w:val="auto"/>
        <w:sz w:val="22"/>
        <w:szCs w:val="22"/>
        <w:lang w:eastAsia="en-US"/>
      </w:rPr>
      <w:t>September 2018</w:t>
    </w:r>
  </w:p>
  <w:p w14:paraId="78E63614" w14:textId="77777777" w:rsidR="00CB1501" w:rsidRPr="001D1686" w:rsidRDefault="004629EF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1D1686">
      <w:rPr>
        <w:rFonts w:ascii="Arial" w:hAnsi="Arial" w:cs="Arial"/>
        <w:b/>
        <w:i/>
        <w:sz w:val="22"/>
        <w:szCs w:val="22"/>
        <w:u w:val="single"/>
      </w:rPr>
      <w:t>Planning (Container Refund Scheme) Amendment Regulation 2018</w:t>
    </w:r>
  </w:p>
  <w:p w14:paraId="32B59048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629EF">
      <w:rPr>
        <w:rFonts w:ascii="Arial" w:hAnsi="Arial" w:cs="Arial"/>
        <w:b/>
        <w:sz w:val="22"/>
        <w:szCs w:val="22"/>
        <w:u w:val="single"/>
      </w:rPr>
      <w:t xml:space="preserve"> for State Development, Manufacturing, Infrastructure and Planning</w:t>
    </w:r>
  </w:p>
  <w:p w14:paraId="7A6CED19" w14:textId="77777777" w:rsidR="00411777" w:rsidRDefault="00411777" w:rsidP="001D1686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3FD0DB3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643BA"/>
    <w:rsid w:val="00077833"/>
    <w:rsid w:val="000801D3"/>
    <w:rsid w:val="00080F8F"/>
    <w:rsid w:val="00095FA7"/>
    <w:rsid w:val="0010282F"/>
    <w:rsid w:val="0010384C"/>
    <w:rsid w:val="001575FB"/>
    <w:rsid w:val="00174117"/>
    <w:rsid w:val="001D1686"/>
    <w:rsid w:val="002E0F5A"/>
    <w:rsid w:val="003A3BDD"/>
    <w:rsid w:val="00411777"/>
    <w:rsid w:val="00424854"/>
    <w:rsid w:val="004629EF"/>
    <w:rsid w:val="00501C66"/>
    <w:rsid w:val="00550873"/>
    <w:rsid w:val="00595703"/>
    <w:rsid w:val="005B78F5"/>
    <w:rsid w:val="006F4F5C"/>
    <w:rsid w:val="007265D0"/>
    <w:rsid w:val="00732E22"/>
    <w:rsid w:val="00741C20"/>
    <w:rsid w:val="007C27AC"/>
    <w:rsid w:val="007F44F4"/>
    <w:rsid w:val="008B1EDC"/>
    <w:rsid w:val="008E262F"/>
    <w:rsid w:val="00904077"/>
    <w:rsid w:val="00937A4A"/>
    <w:rsid w:val="00963186"/>
    <w:rsid w:val="009C23C1"/>
    <w:rsid w:val="009F6A0A"/>
    <w:rsid w:val="00A90CA3"/>
    <w:rsid w:val="00AA3AF2"/>
    <w:rsid w:val="00AA4734"/>
    <w:rsid w:val="00AA4DE7"/>
    <w:rsid w:val="00AB7F41"/>
    <w:rsid w:val="00B8727A"/>
    <w:rsid w:val="00C4582B"/>
    <w:rsid w:val="00C75E67"/>
    <w:rsid w:val="00CB1501"/>
    <w:rsid w:val="00CD7A50"/>
    <w:rsid w:val="00CE5075"/>
    <w:rsid w:val="00CF0D8A"/>
    <w:rsid w:val="00D62804"/>
    <w:rsid w:val="00D6589B"/>
    <w:rsid w:val="00E20656"/>
    <w:rsid w:val="00EA2CF5"/>
    <w:rsid w:val="00F45B99"/>
    <w:rsid w:val="00F77CE0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3B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</TotalTime>
  <Pages>1</Pages>
  <Words>196</Words>
  <Characters>1154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Base>https://www.cabinet.qld.gov.au/documents/2018/Sep/CRSReg/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2018-10-26T08:22:00Z</dcterms:created>
  <dcterms:modified xsi:type="dcterms:W3CDTF">2019-12-11T09:17:00Z</dcterms:modified>
  <cp:category>Legislation,Environmental_Protection,Planning</cp:category>
</cp:coreProperties>
</file>